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>Évolution du nombre de jours à plus de 35°C depuis 2019 et projection à horizon 2030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le nombre annuel de jours où la température maximale dépasse 35°C (entre 2019 et l’année N-1) ainsi que la projection de celle-ci à 2030 (valeur médiane TRACC 2030).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Nombre de jours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TRACC horizon 2030</w:t>
      </w:r>
      <w:r>
        <w:rPr/>
        <w:t xml:space="preserve"> : </w:t>
      </w:r>
      <w:hyperlink r:id="rId3">
        <w:r>
          <w:rPr>
            <w:rStyle w:val="Hyperlink"/>
          </w:rPr>
          <w:t>DRIAS les futurs du climat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Pour chaque année, le nombre annuel de jours à plus de 35°C est d’abord calculé à l’échelle de chaque maille SAFRAN (8 km²) à partir des données quotidiennes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hyperlink" Target="https://www.drias-climat.fr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Collabora_Office/25.04.9.2$Windows_X86_64 LibreOffice_project/29b0eb8ba16f7c9f343ec5f335fd28028457dac3</Application>
  <AppVersion>15.0000</AppVersion>
  <Pages>1</Pages>
  <Words>230</Words>
  <Characters>1189</Characters>
  <CharactersWithSpaces>1377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2026-09-01T07:17:00Z</dcterms:created>
  <dc:creator>yravaud</dc:creator>
  <dc:description/>
  <dc:language>fr-FR</dc:language>
  <cp:lastModifiedBy/>
  <dcterms:modified xsi:type="dcterms:W3CDTF">2026-09-07T17:07:57Z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