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>Évolution de la température maximale annuelle depuis 2019 et projection à horizon 2030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la température maximale annuelle moyenne (entre 2019 et l’année N-1) ainsi que la projection de celle-ci à 2030 (valeur médiane TRACC 2030).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La température maximale correspond à la température la plus élevée atteinte au cours d’une journée.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°C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TRACC horizon 2030</w:t>
      </w:r>
      <w:r>
        <w:rPr/>
        <w:t xml:space="preserve"> : </w:t>
      </w:r>
      <w:hyperlink r:id="rId3">
        <w:r>
          <w:rPr>
            <w:rStyle w:val="Hyperlink"/>
          </w:rPr>
          <w:t>DRIAS les futurs du climat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La température maximale moyenne annuelle est calculée pour chaque maille SAFRAN (8 km²) à partir des températures maximales quotidiennes issues des données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hyperlink" Target="https://www.drias-climat.fr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Collabora_Office/25.04.9.2$Windows_X86_64 LibreOffice_project/29b0eb8ba16f7c9f343ec5f335fd28028457dac3</Application>
  <AppVersion>15.0000</AppVersion>
  <Pages>1</Pages>
  <Words>228</Words>
  <Characters>1253</Characters>
  <CharactersWithSpaces>1438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2026-09-01T07:19:00Z</dcterms:created>
  <dc:creator>yravaud</dc:creator>
  <dc:description/>
  <dc:language>fr-FR</dc:language>
  <cp:lastModifiedBy/>
  <dcterms:modified xsi:type="dcterms:W3CDTF">2026-09-07T17:10:24Z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